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inline distT="0" distB="0" distL="114300" distR="114300">
            <wp:extent cx="2955925" cy="516890"/>
            <wp:effectExtent l="0" t="0" r="15875" b="1651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55925" cy="516890"/>
                    </a:xfrm>
                    <a:prstGeom prst="rect">
                      <a:avLst/>
                    </a:prstGeom>
                  </pic:spPr>
                </pic:pic>
              </a:graphicData>
            </a:graphic>
          </wp:inline>
        </w:drawing>
      </w:r>
    </w:p>
    <w:p/>
    <w:p/>
    <w:p/>
    <w:p/>
    <w:p/>
    <w:p/>
    <w:p/>
    <w:p/>
    <w:p/>
    <w:p>
      <w:pPr>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t>高等职业教育创新发展行动计划</w:t>
      </w:r>
      <w:r>
        <w:rPr>
          <w:rFonts w:hint="eastAsia" w:ascii="黑体" w:hAnsi="黑体" w:eastAsia="黑体" w:cs="黑体"/>
          <w:b/>
          <w:bCs/>
          <w:sz w:val="36"/>
          <w:szCs w:val="36"/>
          <w:lang w:eastAsia="zh-CN"/>
        </w:rPr>
        <w:t>（</w:t>
      </w:r>
      <w:r>
        <w:rPr>
          <w:rFonts w:hint="eastAsia" w:ascii="黑体" w:hAnsi="黑体" w:eastAsia="黑体" w:cs="黑体"/>
          <w:b/>
          <w:bCs/>
          <w:sz w:val="36"/>
          <w:szCs w:val="36"/>
          <w:lang w:val="en-US" w:eastAsia="zh-CN"/>
        </w:rPr>
        <w:t>2015-2018年</w:t>
      </w:r>
      <w:r>
        <w:rPr>
          <w:rFonts w:hint="eastAsia" w:ascii="黑体" w:hAnsi="黑体" w:eastAsia="黑体" w:cs="黑体"/>
          <w:b/>
          <w:bCs/>
          <w:sz w:val="36"/>
          <w:szCs w:val="36"/>
          <w:lang w:eastAsia="zh-CN"/>
        </w:rPr>
        <w:t>）</w:t>
      </w:r>
    </w:p>
    <w:p>
      <w:pPr>
        <w:jc w:val="center"/>
        <w:rPr>
          <w:rFonts w:hint="eastAsia" w:ascii="黑体" w:hAnsi="黑体" w:eastAsia="黑体" w:cs="黑体"/>
          <w:sz w:val="36"/>
          <w:szCs w:val="36"/>
          <w:lang w:eastAsia="zh-CN"/>
        </w:rPr>
      </w:pPr>
    </w:p>
    <w:p>
      <w:pPr>
        <w:jc w:val="center"/>
        <w:rPr>
          <w:rFonts w:hint="eastAsia" w:ascii="黑体" w:hAnsi="黑体" w:eastAsia="黑体" w:cs="黑体"/>
          <w:b/>
          <w:bCs/>
          <w:sz w:val="72"/>
          <w:szCs w:val="72"/>
          <w:lang w:val="en-US" w:eastAsia="zh-CN"/>
        </w:rPr>
      </w:pPr>
      <w:r>
        <w:rPr>
          <w:rFonts w:hint="eastAsia" w:ascii="黑体" w:hAnsi="黑体" w:eastAsia="黑体" w:cs="黑体"/>
          <w:b/>
          <w:bCs/>
          <w:sz w:val="72"/>
          <w:szCs w:val="72"/>
          <w:lang w:val="en-US" w:eastAsia="zh-CN"/>
        </w:rPr>
        <w:t>2018年绩效报告</w:t>
      </w:r>
    </w:p>
    <w:p>
      <w:pPr>
        <w:jc w:val="center"/>
        <w:rPr>
          <w:rFonts w:hint="eastAsia" w:ascii="黑体" w:hAnsi="黑体" w:eastAsia="黑体" w:cs="黑体"/>
          <w:b/>
          <w:bCs/>
          <w:sz w:val="52"/>
          <w:szCs w:val="52"/>
          <w:lang w:val="en-US" w:eastAsia="zh-CN"/>
        </w:rPr>
      </w:pPr>
    </w:p>
    <w:p>
      <w:pPr>
        <w:jc w:val="center"/>
        <w:rPr>
          <w:rFonts w:hint="eastAsia" w:ascii="黑体" w:hAnsi="黑体" w:eastAsia="黑体" w:cs="黑体"/>
          <w:b/>
          <w:bCs/>
          <w:sz w:val="52"/>
          <w:szCs w:val="52"/>
          <w:lang w:val="en-US" w:eastAsia="zh-CN"/>
        </w:rPr>
      </w:pPr>
    </w:p>
    <w:p>
      <w:pPr>
        <w:jc w:val="center"/>
        <w:rPr>
          <w:rFonts w:hint="eastAsia" w:ascii="黑体" w:hAnsi="黑体" w:eastAsia="黑体" w:cs="黑体"/>
          <w:b/>
          <w:bCs/>
          <w:sz w:val="52"/>
          <w:szCs w:val="52"/>
          <w:lang w:val="en-US" w:eastAsia="zh-CN"/>
        </w:rPr>
      </w:pPr>
    </w:p>
    <w:p>
      <w:pPr>
        <w:jc w:val="both"/>
        <w:rPr>
          <w:rFonts w:hint="eastAsia" w:ascii="黑体" w:hAnsi="黑体" w:eastAsia="黑体" w:cs="黑体"/>
          <w:b/>
          <w:bCs/>
          <w:sz w:val="52"/>
          <w:szCs w:val="52"/>
          <w:lang w:val="en-US" w:eastAsia="zh-CN"/>
        </w:rPr>
      </w:pPr>
    </w:p>
    <w:p>
      <w:pPr>
        <w:jc w:val="center"/>
        <w:rPr>
          <w:rFonts w:hint="eastAsia" w:ascii="黑体" w:hAnsi="黑体" w:eastAsia="黑体" w:cs="黑体"/>
          <w:b/>
          <w:bCs/>
          <w:sz w:val="52"/>
          <w:szCs w:val="52"/>
          <w:lang w:val="en-US" w:eastAsia="zh-CN"/>
        </w:rPr>
      </w:pPr>
    </w:p>
    <w:p>
      <w:pPr>
        <w:jc w:val="center"/>
        <w:rPr>
          <w:rFonts w:hint="eastAsia" w:ascii="黑体" w:hAnsi="黑体" w:eastAsia="黑体" w:cs="黑体"/>
          <w:b/>
          <w:bCs/>
          <w:sz w:val="52"/>
          <w:szCs w:val="52"/>
          <w:lang w:val="en-US" w:eastAsia="zh-CN"/>
        </w:rPr>
      </w:pPr>
    </w:p>
    <w:p>
      <w:pPr>
        <w:jc w:val="center"/>
        <w:rPr>
          <w:rFonts w:hint="eastAsia" w:ascii="仿宋" w:hAnsi="仿宋" w:eastAsia="仿宋" w:cs="仿宋"/>
          <w:b/>
          <w:bCs/>
          <w:sz w:val="48"/>
          <w:szCs w:val="48"/>
          <w:lang w:val="en-US" w:eastAsia="zh-CN"/>
        </w:rPr>
      </w:pPr>
      <w:r>
        <w:rPr>
          <w:rFonts w:hint="eastAsia" w:ascii="仿宋" w:hAnsi="仿宋" w:eastAsia="仿宋" w:cs="仿宋"/>
          <w:b/>
          <w:bCs/>
          <w:sz w:val="48"/>
          <w:szCs w:val="48"/>
          <w:lang w:val="en-US" w:eastAsia="zh-CN"/>
        </w:rPr>
        <w:t>辽宁轻工职业学院</w:t>
      </w:r>
    </w:p>
    <w:p>
      <w:pPr>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二〇一八年十二月</w:t>
      </w:r>
    </w:p>
    <w:p>
      <w:pPr>
        <w:jc w:val="center"/>
        <w:rPr>
          <w:rFonts w:hint="eastAsia" w:ascii="仿宋" w:hAnsi="仿宋" w:eastAsia="仿宋" w:cs="仿宋"/>
          <w:b/>
          <w:bCs/>
          <w:sz w:val="32"/>
          <w:szCs w:val="32"/>
          <w:lang w:val="en-US" w:eastAsia="zh-CN"/>
        </w:rPr>
      </w:pPr>
    </w:p>
    <w:p>
      <w:pPr>
        <w:jc w:val="center"/>
        <w:rPr>
          <w:rFonts w:hint="eastAsia" w:ascii="仿宋" w:hAnsi="仿宋" w:eastAsia="仿宋" w:cs="仿宋"/>
          <w:b/>
          <w:bCs/>
          <w:sz w:val="32"/>
          <w:szCs w:val="32"/>
          <w:lang w:val="en-US" w:eastAsia="zh-CN"/>
        </w:rPr>
      </w:pPr>
    </w:p>
    <w:p>
      <w:pPr>
        <w:keepNext w:val="0"/>
        <w:keepLines w:val="0"/>
        <w:widowControl/>
        <w:suppressLineNumbers w:val="0"/>
        <w:shd w:val="clear" w:fill="FFFFFF"/>
        <w:spacing w:before="0" w:beforeAutospacing="0" w:after="0" w:afterAutospacing="0" w:line="315" w:lineRule="atLeast"/>
        <w:ind w:left="0" w:right="0" w:firstLine="600"/>
        <w:jc w:val="left"/>
        <w:rPr>
          <w:rFonts w:hint="eastAsia" w:ascii="仿宋" w:hAnsi="仿宋" w:eastAsia="仿宋" w:cs="仿宋"/>
          <w:i w:val="0"/>
          <w:caps w:val="0"/>
          <w:color w:val="333333"/>
          <w:spacing w:val="0"/>
          <w:kern w:val="0"/>
          <w:sz w:val="30"/>
          <w:szCs w:val="30"/>
          <w:shd w:val="clear" w:fill="FFFFFF"/>
          <w:lang w:val="en-US" w:eastAsia="zh-CN" w:bidi="ar"/>
        </w:rPr>
        <w:sectPr>
          <w:footerReference r:id="rId3" w:type="default"/>
          <w:pgSz w:w="11906" w:h="16838"/>
          <w:pgMar w:top="1440" w:right="1286" w:bottom="1440" w:left="1800" w:header="851" w:footer="992" w:gutter="0"/>
          <w:pgNumType w:fmt="numberInDash" w:start="1"/>
          <w:cols w:space="425" w:num="1"/>
          <w:docGrid w:type="lines" w:linePitch="312" w:charSpace="0"/>
        </w:sectPr>
      </w:pPr>
    </w:p>
    <w:p>
      <w:pPr>
        <w:keepNext w:val="0"/>
        <w:keepLines w:val="0"/>
        <w:widowControl/>
        <w:suppressLineNumbers w:val="0"/>
        <w:shd w:val="clear" w:fill="FFFFFF"/>
        <w:spacing w:before="0" w:beforeAutospacing="0" w:after="0" w:afterAutospacing="0" w:line="315" w:lineRule="atLeast"/>
        <w:ind w:left="0" w:right="0" w:firstLine="600"/>
        <w:jc w:val="left"/>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kern w:val="0"/>
          <w:sz w:val="30"/>
          <w:szCs w:val="30"/>
          <w:shd w:val="clear" w:fill="FFFFFF"/>
          <w:lang w:val="en-US" w:eastAsia="zh-CN" w:bidi="ar"/>
        </w:rPr>
        <w:t>按照教育部职称司《关于开展&lt;高等职业教育创新发展行动计划（2015-2018年）&gt;2018年执行绩效数据采集工作的通知 》(教职成司函〔2018〕52号)要求，和辽宁省教育厅关于开展《高等职业教育创新发展行动计划（2015-2018年）》2018年执行绩效数据采集工作的通知要求，我院组织力量对2018年各任务/项目承接单位的工作进展与建设成效进行了绩效评价，现将总体情况汇报如下：</w:t>
      </w:r>
    </w:p>
    <w:p>
      <w:pPr>
        <w:keepNext w:val="0"/>
        <w:keepLines w:val="0"/>
        <w:widowControl/>
        <w:suppressLineNumbers w:val="0"/>
        <w:shd w:val="clear" w:fill="FFFFFF"/>
        <w:spacing w:before="0" w:beforeAutospacing="0" w:after="0" w:afterAutospacing="0" w:line="315" w:lineRule="atLeast"/>
        <w:ind w:left="0" w:right="0" w:firstLine="482"/>
        <w:jc w:val="left"/>
        <w:rPr>
          <w:rFonts w:hint="eastAsia" w:ascii="仿宋" w:hAnsi="仿宋" w:eastAsia="仿宋" w:cs="仿宋"/>
          <w:i w:val="0"/>
          <w:caps w:val="0"/>
          <w:color w:val="333333"/>
          <w:spacing w:val="0"/>
          <w:sz w:val="30"/>
          <w:szCs w:val="30"/>
        </w:rPr>
      </w:pPr>
      <w:r>
        <w:rPr>
          <w:rFonts w:hint="eastAsia" w:ascii="仿宋" w:hAnsi="仿宋" w:eastAsia="仿宋" w:cs="仿宋"/>
          <w:b/>
          <w:i w:val="0"/>
          <w:caps w:val="0"/>
          <w:color w:val="333333"/>
          <w:spacing w:val="0"/>
          <w:kern w:val="0"/>
          <w:sz w:val="30"/>
          <w:szCs w:val="30"/>
          <w:shd w:val="clear" w:fill="FFFFFF"/>
          <w:lang w:val="en-US" w:eastAsia="zh-CN" w:bidi="ar"/>
        </w:rPr>
        <w:t>一、基本情况</w:t>
      </w:r>
    </w:p>
    <w:p>
      <w:pPr>
        <w:keepNext w:val="0"/>
        <w:keepLines w:val="0"/>
        <w:widowControl/>
        <w:suppressLineNumbers w:val="0"/>
        <w:shd w:val="clear" w:fill="FFFFFF"/>
        <w:spacing w:before="0" w:beforeAutospacing="0" w:after="0" w:afterAutospacing="0" w:line="315" w:lineRule="atLeast"/>
        <w:ind w:left="0" w:right="0" w:firstLine="600"/>
        <w:jc w:val="left"/>
        <w:rPr>
          <w:rFonts w:hint="eastAsia" w:ascii="仿宋" w:hAnsi="仿宋" w:eastAsia="仿宋" w:cs="仿宋"/>
          <w:i w:val="0"/>
          <w:caps w:val="0"/>
          <w:color w:val="333333"/>
          <w:spacing w:val="0"/>
          <w:sz w:val="30"/>
          <w:szCs w:val="30"/>
        </w:rPr>
      </w:pPr>
      <w:r>
        <w:rPr>
          <w:rFonts w:hint="eastAsia" w:ascii="仿宋" w:hAnsi="仿宋" w:eastAsia="仿宋" w:cs="仿宋"/>
          <w:i w:val="0"/>
          <w:caps w:val="0"/>
          <w:color w:val="333333"/>
          <w:spacing w:val="0"/>
          <w:kern w:val="0"/>
          <w:sz w:val="30"/>
          <w:szCs w:val="30"/>
          <w:shd w:val="clear" w:fill="FFFFFF"/>
          <w:lang w:val="en-US" w:eastAsia="zh-CN" w:bidi="ar"/>
        </w:rPr>
        <w:t>我院共承接了辽宁省教育厅审批的创新发展行动计划中的6项任务和2类项目，学院组织各承接部门认真研究教育部、教育厅《行动计划》及《贯彻实施方案》，全员动员领会文件精神实质，狠抓贯彻落实工作，总结前期的工作成果及经验，认真贯彻推进《行动计划》，结合《学院“十三五”发展规划》，紧紧围绕提升内涵建设水平，提升学院综合实力，创新驱动发展。同时学院加强组织领导，强化绩效督查工作，建立明确的目标责任制，各部门积极配合、协同推进，通过各承接部门的积极努力，我院承接的任务/项目确定的2018年度目标基本实现。</w:t>
      </w:r>
    </w:p>
    <w:p>
      <w:pPr>
        <w:keepNext w:val="0"/>
        <w:keepLines w:val="0"/>
        <w:widowControl/>
        <w:suppressLineNumbers w:val="0"/>
        <w:shd w:val="clear" w:fill="FFFFFF"/>
        <w:spacing w:before="0" w:beforeAutospacing="0" w:after="0" w:afterAutospacing="0" w:line="315" w:lineRule="atLeast"/>
        <w:ind w:left="0" w:right="0" w:firstLine="602"/>
        <w:jc w:val="left"/>
        <w:rPr>
          <w:rFonts w:hint="eastAsia" w:ascii="仿宋" w:hAnsi="仿宋" w:eastAsia="仿宋" w:cs="仿宋"/>
          <w:i w:val="0"/>
          <w:caps w:val="0"/>
          <w:color w:val="333333"/>
          <w:spacing w:val="0"/>
          <w:sz w:val="30"/>
          <w:szCs w:val="30"/>
        </w:rPr>
      </w:pPr>
      <w:r>
        <w:rPr>
          <w:rFonts w:hint="eastAsia" w:ascii="仿宋" w:hAnsi="仿宋" w:eastAsia="仿宋" w:cs="仿宋"/>
          <w:b/>
          <w:i w:val="0"/>
          <w:caps w:val="0"/>
          <w:color w:val="333333"/>
          <w:spacing w:val="0"/>
          <w:kern w:val="0"/>
          <w:sz w:val="30"/>
          <w:szCs w:val="30"/>
          <w:shd w:val="clear" w:fill="FFFFFF"/>
          <w:lang w:val="en-US" w:eastAsia="zh-CN" w:bidi="ar"/>
        </w:rPr>
        <w:t>二、工作进展</w:t>
      </w:r>
    </w:p>
    <w:p>
      <w:pPr>
        <w:keepNext w:val="0"/>
        <w:keepLines w:val="0"/>
        <w:widowControl/>
        <w:suppressLineNumbers w:val="0"/>
        <w:shd w:val="clear" w:fill="FFFFFF"/>
        <w:spacing w:before="0" w:beforeAutospacing="0" w:after="0" w:afterAutospacing="0" w:line="315" w:lineRule="atLeast"/>
        <w:ind w:left="0" w:right="0" w:firstLine="480"/>
        <w:jc w:val="both"/>
        <w:rPr>
          <w:rFonts w:hint="eastAsia" w:ascii="仿宋" w:hAnsi="仿宋" w:eastAsia="仿宋" w:cs="仿宋"/>
          <w:i w:val="0"/>
          <w:caps w:val="0"/>
          <w:color w:val="333333"/>
          <w:spacing w:val="0"/>
          <w:kern w:val="0"/>
          <w:sz w:val="30"/>
          <w:szCs w:val="30"/>
          <w:shd w:val="clear" w:fill="FFFFFF"/>
          <w:lang w:val="en-US" w:eastAsia="zh-CN" w:bidi="ar"/>
        </w:rPr>
      </w:pPr>
      <w:r>
        <w:rPr>
          <w:rFonts w:hint="eastAsia" w:ascii="仿宋" w:hAnsi="仿宋" w:eastAsia="仿宋" w:cs="仿宋"/>
          <w:i w:val="0"/>
          <w:caps w:val="0"/>
          <w:color w:val="333333"/>
          <w:spacing w:val="0"/>
          <w:kern w:val="0"/>
          <w:sz w:val="30"/>
          <w:szCs w:val="30"/>
          <w:shd w:val="clear" w:fill="FFFFFF"/>
          <w:lang w:val="en-US" w:eastAsia="zh-CN" w:bidi="ar"/>
        </w:rPr>
        <w:t>按照教育部和辽宁省教育厅的工作要求，学院根据承担的6项任务及2个项目，结合我院实际，已做好任务（项目）的总体建设。2018年，学院首先对已经启动开展的任务（项目）持续推进，加强过程管理和控制，及时通过“高等职业教育创新发展行动计划管理平台”上报各任务（项目）建设工作进展；二是针对每个实施的任务（项目），根据具体实施方案，及时开展现代学徒制试点、技能大师工作室、骨干专业的建设工作，以下是我院各任务（项目）建设工作进展汇报。</w:t>
      </w:r>
    </w:p>
    <w:p>
      <w:pPr>
        <w:keepNext w:val="0"/>
        <w:keepLines w:val="0"/>
        <w:widowControl/>
        <w:suppressLineNumbers w:val="0"/>
        <w:shd w:val="clear" w:fill="FFFFFF"/>
        <w:spacing w:before="0" w:beforeAutospacing="0" w:after="0" w:afterAutospacing="0" w:line="315" w:lineRule="atLeast"/>
        <w:ind w:left="0" w:right="0" w:firstLine="602"/>
        <w:jc w:val="left"/>
        <w:rPr>
          <w:rFonts w:hint="eastAsia" w:ascii="仿宋" w:hAnsi="仿宋" w:eastAsia="仿宋" w:cs="仿宋"/>
          <w:i w:val="0"/>
          <w:caps w:val="0"/>
          <w:color w:val="333333"/>
          <w:spacing w:val="0"/>
          <w:kern w:val="0"/>
          <w:sz w:val="30"/>
          <w:szCs w:val="30"/>
          <w:shd w:val="clear" w:fill="FFFFFF"/>
          <w:lang w:val="en-US" w:eastAsia="zh-CN" w:bidi="ar"/>
        </w:rPr>
      </w:pPr>
      <w:r>
        <w:rPr>
          <w:rFonts w:hint="eastAsia" w:ascii="仿宋" w:hAnsi="仿宋" w:eastAsia="仿宋" w:cs="仿宋"/>
          <w:b/>
          <w:i w:val="0"/>
          <w:caps w:val="0"/>
          <w:color w:val="333333"/>
          <w:spacing w:val="0"/>
          <w:kern w:val="0"/>
          <w:sz w:val="30"/>
          <w:szCs w:val="30"/>
          <w:shd w:val="clear" w:fill="FFFFFF"/>
          <w:lang w:val="en-US" w:eastAsia="zh-CN" w:bidi="ar"/>
        </w:rPr>
        <w:t>三、绩效数据分析</w:t>
      </w:r>
    </w:p>
    <w:p>
      <w:pPr>
        <w:keepNext w:val="0"/>
        <w:keepLines w:val="0"/>
        <w:widowControl/>
        <w:suppressLineNumbers w:val="0"/>
        <w:shd w:val="clear" w:fill="FFFFFF"/>
        <w:spacing w:before="0" w:beforeAutospacing="0" w:after="0" w:afterAutospacing="0" w:line="315" w:lineRule="atLeast"/>
        <w:ind w:right="0" w:firstLine="602" w:firstLineChars="200"/>
        <w:jc w:val="both"/>
        <w:rPr>
          <w:rFonts w:hint="eastAsia" w:ascii="仿宋" w:hAnsi="仿宋" w:eastAsia="仿宋" w:cs="仿宋"/>
          <w:b/>
          <w:bCs/>
          <w:i w:val="0"/>
          <w:caps w:val="0"/>
          <w:color w:val="333333"/>
          <w:spacing w:val="0"/>
          <w:kern w:val="0"/>
          <w:sz w:val="30"/>
          <w:szCs w:val="30"/>
          <w:shd w:val="clear" w:fill="FFFFFF"/>
          <w:lang w:val="en-US" w:eastAsia="zh-CN" w:bidi="ar"/>
        </w:rPr>
      </w:pPr>
      <w:r>
        <w:rPr>
          <w:rFonts w:hint="eastAsia" w:ascii="仿宋" w:hAnsi="仿宋" w:eastAsia="仿宋" w:cs="仿宋"/>
          <w:b/>
          <w:bCs/>
          <w:i w:val="0"/>
          <w:caps w:val="0"/>
          <w:color w:val="333333"/>
          <w:spacing w:val="0"/>
          <w:kern w:val="0"/>
          <w:sz w:val="30"/>
          <w:szCs w:val="30"/>
          <w:shd w:val="clear" w:fill="FFFFFF"/>
          <w:lang w:val="en-US" w:eastAsia="zh-CN" w:bidi="ar"/>
        </w:rPr>
        <w:t>RW-11 职业院校数字校园建设规范，建设高等职业教育人才培养工作状态数据管理系统。</w:t>
      </w:r>
    </w:p>
    <w:p>
      <w:pPr>
        <w:autoSpaceDE w:val="0"/>
        <w:autoSpaceDN w:val="0"/>
        <w:adjustRightInd w:val="0"/>
        <w:ind w:firstLine="560" w:firstLineChars="200"/>
        <w:jc w:val="left"/>
        <w:rPr>
          <w:rFonts w:hint="eastAsia" w:ascii="仿宋" w:hAnsi="仿宋" w:eastAsia="仿宋" w:cs="TT84EB8C4EtCID-WinCharSetFFFF-H"/>
          <w:color w:val="000000"/>
          <w:kern w:val="0"/>
          <w:sz w:val="28"/>
          <w:szCs w:val="28"/>
        </w:rPr>
      </w:pPr>
      <w:r>
        <w:rPr>
          <w:rFonts w:hint="eastAsia" w:ascii="仿宋" w:hAnsi="仿宋" w:eastAsia="仿宋" w:cs="TT84EB8C4EtCID-WinCharSetFFFF-H"/>
          <w:color w:val="000000"/>
          <w:kern w:val="0"/>
          <w:sz w:val="28"/>
          <w:szCs w:val="28"/>
        </w:rPr>
        <w:t>201</w:t>
      </w:r>
      <w:r>
        <w:rPr>
          <w:rFonts w:hint="eastAsia" w:ascii="仿宋" w:hAnsi="仿宋" w:eastAsia="仿宋" w:cs="TT84EB8C4EtCID-WinCharSetFFFF-H"/>
          <w:color w:val="000000"/>
          <w:kern w:val="0"/>
          <w:sz w:val="28"/>
          <w:szCs w:val="28"/>
          <w:lang w:val="en-US" w:eastAsia="zh-CN"/>
        </w:rPr>
        <w:t>8</w:t>
      </w:r>
      <w:r>
        <w:rPr>
          <w:rFonts w:hint="eastAsia" w:ascii="仿宋" w:hAnsi="仿宋" w:eastAsia="仿宋" w:cs="TT84EB8C4EtCID-WinCharSetFFFF-H"/>
          <w:color w:val="000000"/>
          <w:kern w:val="0"/>
          <w:sz w:val="28"/>
          <w:szCs w:val="28"/>
        </w:rPr>
        <w:t>年学院投入</w:t>
      </w:r>
      <w:r>
        <w:rPr>
          <w:rFonts w:hint="eastAsia" w:ascii="仿宋" w:hAnsi="仿宋" w:eastAsia="仿宋" w:cs="TT84EB8C4EtCID-WinCharSetFFFF-H"/>
          <w:color w:val="000000"/>
          <w:kern w:val="0"/>
          <w:sz w:val="28"/>
          <w:szCs w:val="28"/>
          <w:lang w:val="en-US" w:eastAsia="zh-CN"/>
        </w:rPr>
        <w:t>877</w:t>
      </w:r>
      <w:r>
        <w:rPr>
          <w:rFonts w:hint="eastAsia" w:ascii="仿宋" w:hAnsi="仿宋" w:eastAsia="仿宋" w:cs="TT84EB8C4EtCID-WinCharSetFFFF-H"/>
          <w:color w:val="000000"/>
          <w:kern w:val="0"/>
          <w:sz w:val="28"/>
          <w:szCs w:val="28"/>
        </w:rPr>
        <w:t>余万元一方面加大教育信息化工程建设，安装部署覆盖教学区域、办公区域、行政区域、实训区域等13栋楼宇无线AP483个；校园网部署核心交换机1台，网络安全产品7套，高性能、大容量存储2套；新建及改造数控机床、机电仿真等仿真实训室5间；开发制作专业教学资源库3个、网络课程25门、课程资源1000余个；升级网络教学平台和资源库平台1套；建成功能丰富的媒体资源管理平台1套。</w:t>
      </w:r>
    </w:p>
    <w:p>
      <w:pPr>
        <w:autoSpaceDE w:val="0"/>
        <w:autoSpaceDN w:val="0"/>
        <w:adjustRightInd w:val="0"/>
        <w:ind w:firstLine="560" w:firstLineChars="200"/>
        <w:jc w:val="left"/>
        <w:rPr>
          <w:rFonts w:hint="eastAsia" w:ascii="仿宋" w:hAnsi="仿宋" w:eastAsia="仿宋" w:cs="TT84EB8C4EtCID-WinCharSetFFFF-H"/>
          <w:color w:val="000000"/>
          <w:kern w:val="0"/>
          <w:sz w:val="28"/>
          <w:szCs w:val="28"/>
        </w:rPr>
      </w:pPr>
      <w:r>
        <w:rPr>
          <w:rFonts w:hint="eastAsia" w:ascii="仿宋" w:hAnsi="仿宋" w:eastAsia="仿宋" w:cs="TT84EB8C4EtCID-WinCharSetFFFF-H"/>
          <w:color w:val="000000"/>
          <w:kern w:val="0"/>
          <w:sz w:val="28"/>
          <w:szCs w:val="28"/>
        </w:rPr>
        <w:t>另一方面积极开展信息技术教育和学科课堂教学整合的研究，把现代教育技术手段的应用纳入教育教学改革和发展的整体工作中，围绕建网、建库、建队伍、建机制，充分利用信息技术手段改革教学模式、创新学习方式、提升管理水平，并取得了一定成效。</w:t>
      </w:r>
    </w:p>
    <w:p>
      <w:pPr>
        <w:autoSpaceDE w:val="0"/>
        <w:autoSpaceDN w:val="0"/>
        <w:adjustRightInd w:val="0"/>
        <w:ind w:firstLine="560" w:firstLineChars="200"/>
        <w:jc w:val="left"/>
        <w:rPr>
          <w:rFonts w:hint="eastAsia" w:ascii="仿宋" w:hAnsi="仿宋" w:eastAsia="仿宋" w:cs="TT84EB8C4EtCID-WinCharSetFFFF-H"/>
          <w:color w:val="000000"/>
          <w:kern w:val="0"/>
          <w:sz w:val="28"/>
          <w:szCs w:val="28"/>
        </w:rPr>
      </w:pPr>
      <w:r>
        <w:rPr>
          <w:rFonts w:hint="eastAsia" w:ascii="仿宋" w:hAnsi="仿宋" w:eastAsia="仿宋" w:cs="TT84EB8C4EtCID-WinCharSetFFFF-H"/>
          <w:color w:val="000000"/>
          <w:kern w:val="0"/>
          <w:sz w:val="28"/>
          <w:szCs w:val="28"/>
        </w:rPr>
        <w:t>学院高度重视人才培养工作状态数据采集工作，由教务处负责该项工作的组织及落实。为保证该项工作有效进行，学院成立了由院长任组长的工作领导小组及采集工作管理办公室，各相关部门均指定专人担任数据采集管理员，根据相关文件要求，制定并下发了《辽宁轻工职业学院人才培养工作状态数据采集工作管理办法》，明确要求及职责。学院先后三次选派专门人员参加教育部相关部门组织的相关培训，管理办公室根据平台填报要求，完成任务分解、信息员培训、基础数据准备、录入组织、数据检查、匹配度与关联性检查、数据调整等工作，按规定时间完成提交上报。</w:t>
      </w:r>
    </w:p>
    <w:p>
      <w:pPr>
        <w:autoSpaceDE w:val="0"/>
        <w:autoSpaceDN w:val="0"/>
        <w:adjustRightInd w:val="0"/>
        <w:ind w:firstLine="602" w:firstLineChars="200"/>
        <w:jc w:val="left"/>
        <w:rPr>
          <w:rFonts w:hint="eastAsia" w:ascii="仿宋" w:hAnsi="仿宋" w:eastAsia="仿宋" w:cs="TT84EB8C4EtCID-WinCharSetFFFF-H"/>
          <w:b/>
          <w:bCs/>
          <w:color w:val="000000"/>
          <w:kern w:val="0"/>
          <w:sz w:val="28"/>
          <w:szCs w:val="28"/>
          <w:lang w:val="en-US" w:eastAsia="zh-CN"/>
        </w:rPr>
      </w:pPr>
      <w:r>
        <w:rPr>
          <w:rFonts w:hint="eastAsia" w:ascii="仿宋" w:hAnsi="仿宋" w:eastAsia="仿宋" w:cs="仿宋"/>
          <w:b/>
          <w:bCs/>
          <w:i w:val="0"/>
          <w:caps w:val="0"/>
          <w:color w:val="333333"/>
          <w:spacing w:val="0"/>
          <w:kern w:val="0"/>
          <w:sz w:val="30"/>
          <w:szCs w:val="30"/>
          <w:shd w:val="clear" w:fill="FFFFFF"/>
          <w:lang w:val="en-US" w:eastAsia="zh-CN" w:bidi="ar"/>
        </w:rPr>
        <w:t>RW-21 积极推进高等职业教育考试招生制度改革</w:t>
      </w:r>
    </w:p>
    <w:p>
      <w:pPr>
        <w:autoSpaceDE w:val="0"/>
        <w:autoSpaceDN w:val="0"/>
        <w:adjustRightInd w:val="0"/>
        <w:ind w:firstLine="562" w:firstLineChars="200"/>
        <w:jc w:val="left"/>
        <w:rPr>
          <w:rFonts w:hint="eastAsia" w:ascii="仿宋" w:hAnsi="仿宋" w:eastAsia="仿宋" w:cs="TT84EB8C4EtCID-WinCharSetFFFF-H"/>
          <w:b/>
          <w:bCs/>
          <w:color w:val="000000"/>
          <w:kern w:val="0"/>
          <w:sz w:val="28"/>
          <w:szCs w:val="28"/>
          <w:lang w:val="en-US" w:eastAsia="zh-CN"/>
        </w:rPr>
      </w:pPr>
      <w:r>
        <w:rPr>
          <w:rFonts w:hint="eastAsia" w:ascii="仿宋" w:hAnsi="仿宋" w:eastAsia="仿宋" w:cs="TT84EB8C4EtCID-WinCharSetFFFF-H"/>
          <w:b/>
          <w:bCs/>
          <w:color w:val="000000"/>
          <w:kern w:val="0"/>
          <w:sz w:val="28"/>
          <w:szCs w:val="28"/>
          <w:lang w:val="en-US" w:eastAsia="zh-CN"/>
        </w:rPr>
        <w:t>1.招生规模</w:t>
      </w:r>
    </w:p>
    <w:p>
      <w:pPr>
        <w:autoSpaceDE w:val="0"/>
        <w:autoSpaceDN w:val="0"/>
        <w:adjustRightInd w:val="0"/>
        <w:ind w:firstLine="560" w:firstLineChars="200"/>
        <w:jc w:val="left"/>
        <w:rPr>
          <w:rFonts w:hint="eastAsia" w:ascii="仿宋" w:hAnsi="仿宋" w:eastAsia="仿宋" w:cs="TT84EB8C4EtCID-WinCharSetFFFF-H"/>
          <w:color w:val="000000"/>
          <w:kern w:val="0"/>
          <w:sz w:val="28"/>
          <w:szCs w:val="28"/>
        </w:rPr>
      </w:pPr>
      <w:r>
        <w:rPr>
          <w:rFonts w:hint="eastAsia" w:ascii="仿宋" w:hAnsi="仿宋" w:eastAsia="仿宋" w:cs="TT84EB8C4EtCID-WinCharSetFFFF-H"/>
          <w:color w:val="000000"/>
          <w:kern w:val="0"/>
          <w:sz w:val="28"/>
          <w:szCs w:val="28"/>
        </w:rPr>
        <w:t>学院严格规范落实《教育部关于积极推进高等职业教育考试招生制度改革的指导意见》,按照《2018辽宁轻工职业学院单独招生实施方案》等分类招生考试办法规定开展招生工作</w:t>
      </w:r>
      <w:r>
        <w:rPr>
          <w:rFonts w:hint="eastAsia" w:ascii="仿宋" w:hAnsi="仿宋" w:eastAsia="仿宋" w:cs="TT84EB8C4EtCID-WinCharSetFFFF-H"/>
          <w:color w:val="000000"/>
          <w:kern w:val="0"/>
          <w:sz w:val="28"/>
          <w:szCs w:val="28"/>
          <w:lang w:eastAsia="zh-CN"/>
        </w:rPr>
        <w:t>。</w:t>
      </w:r>
      <w:r>
        <w:rPr>
          <w:rFonts w:hint="eastAsia" w:ascii="仿宋" w:hAnsi="仿宋" w:eastAsia="仿宋" w:cs="TT84EB8C4EtCID-WinCharSetFFFF-H"/>
          <w:color w:val="000000"/>
          <w:kern w:val="0"/>
          <w:sz w:val="28"/>
          <w:szCs w:val="28"/>
        </w:rPr>
        <w:t>2018年，学院计划招生2560人，招生专业为32个。新增招生专业1个，即国际邮轮乘务管理专业。实际录取2421人，实际报到2313人，报到率为95.54%。学生招生口径以普通高考为主，招生1283人</w:t>
      </w:r>
      <w:r>
        <w:rPr>
          <w:rFonts w:hint="eastAsia" w:ascii="仿宋" w:hAnsi="仿宋" w:eastAsia="仿宋" w:cs="TT84EB8C4EtCID-WinCharSetFFFF-H"/>
          <w:color w:val="000000"/>
          <w:kern w:val="0"/>
          <w:sz w:val="28"/>
          <w:szCs w:val="28"/>
          <w:lang w:eastAsia="zh-CN"/>
        </w:rPr>
        <w:t>，</w:t>
      </w:r>
      <w:r>
        <w:rPr>
          <w:rFonts w:hint="eastAsia" w:ascii="仿宋" w:hAnsi="仿宋" w:eastAsia="仿宋" w:cs="TT84EB8C4EtCID-WinCharSetFFFF-H"/>
          <w:color w:val="000000"/>
          <w:kern w:val="0"/>
          <w:sz w:val="28"/>
          <w:szCs w:val="28"/>
        </w:rPr>
        <w:t>占招生总数的5</w:t>
      </w:r>
      <w:r>
        <w:rPr>
          <w:rFonts w:hint="eastAsia" w:ascii="仿宋" w:hAnsi="仿宋" w:eastAsia="仿宋" w:cs="TT84EB8C4EtCID-WinCharSetFFFF-H"/>
          <w:color w:val="000000"/>
          <w:kern w:val="0"/>
          <w:sz w:val="28"/>
          <w:szCs w:val="28"/>
          <w:lang w:val="en-US" w:eastAsia="zh-CN"/>
        </w:rPr>
        <w:t>2</w:t>
      </w:r>
      <w:r>
        <w:rPr>
          <w:rFonts w:hint="eastAsia" w:ascii="仿宋" w:hAnsi="仿宋" w:eastAsia="仿宋" w:cs="TT84EB8C4EtCID-WinCharSetFFFF-H"/>
          <w:color w:val="000000"/>
          <w:kern w:val="0"/>
          <w:sz w:val="28"/>
          <w:szCs w:val="28"/>
        </w:rPr>
        <w:t>.</w:t>
      </w:r>
      <w:r>
        <w:rPr>
          <w:rFonts w:hint="eastAsia" w:ascii="仿宋" w:hAnsi="仿宋" w:eastAsia="仿宋" w:cs="TT84EB8C4EtCID-WinCharSetFFFF-H"/>
          <w:color w:val="000000"/>
          <w:kern w:val="0"/>
          <w:sz w:val="28"/>
          <w:szCs w:val="28"/>
          <w:lang w:val="en-US" w:eastAsia="zh-CN"/>
        </w:rPr>
        <w:t>99</w:t>
      </w:r>
      <w:r>
        <w:rPr>
          <w:rFonts w:hint="eastAsia" w:ascii="仿宋" w:hAnsi="仿宋" w:eastAsia="仿宋" w:cs="TT84EB8C4EtCID-WinCharSetFFFF-H"/>
          <w:color w:val="000000"/>
          <w:kern w:val="0"/>
          <w:sz w:val="28"/>
          <w:szCs w:val="28"/>
        </w:rPr>
        <w:t>%</w:t>
      </w:r>
      <w:r>
        <w:rPr>
          <w:rFonts w:hint="eastAsia" w:ascii="仿宋" w:hAnsi="仿宋" w:eastAsia="仿宋" w:cs="TT84EB8C4EtCID-WinCharSetFFFF-H"/>
          <w:color w:val="000000"/>
          <w:kern w:val="0"/>
          <w:sz w:val="28"/>
          <w:szCs w:val="28"/>
          <w:lang w:eastAsia="zh-CN"/>
        </w:rPr>
        <w:t>；</w:t>
      </w:r>
      <w:r>
        <w:rPr>
          <w:rFonts w:hint="eastAsia" w:ascii="仿宋" w:hAnsi="仿宋" w:eastAsia="仿宋" w:cs="TT84EB8C4EtCID-WinCharSetFFFF-H"/>
          <w:color w:val="000000"/>
          <w:kern w:val="0"/>
          <w:sz w:val="28"/>
          <w:szCs w:val="28"/>
        </w:rPr>
        <w:t>以单独考试形式为辅，招收659人</w:t>
      </w:r>
      <w:r>
        <w:rPr>
          <w:rFonts w:hint="eastAsia" w:ascii="仿宋" w:hAnsi="仿宋" w:eastAsia="仿宋" w:cs="TT84EB8C4EtCID-WinCharSetFFFF-H"/>
          <w:color w:val="000000"/>
          <w:kern w:val="0"/>
          <w:sz w:val="28"/>
          <w:szCs w:val="28"/>
          <w:lang w:eastAsia="zh-CN"/>
        </w:rPr>
        <w:t>，</w:t>
      </w:r>
      <w:r>
        <w:rPr>
          <w:rFonts w:hint="eastAsia" w:ascii="仿宋" w:hAnsi="仿宋" w:eastAsia="仿宋" w:cs="TT84EB8C4EtCID-WinCharSetFFFF-H"/>
          <w:color w:val="000000"/>
          <w:kern w:val="0"/>
          <w:sz w:val="28"/>
          <w:szCs w:val="28"/>
        </w:rPr>
        <w:t>占招生总数的</w:t>
      </w:r>
      <w:r>
        <w:rPr>
          <w:rFonts w:hint="eastAsia" w:ascii="仿宋" w:hAnsi="仿宋" w:eastAsia="仿宋" w:cs="TT84EB8C4EtCID-WinCharSetFFFF-H"/>
          <w:color w:val="000000"/>
          <w:kern w:val="0"/>
          <w:sz w:val="28"/>
          <w:szCs w:val="28"/>
          <w:lang w:val="en-US" w:eastAsia="zh-CN"/>
        </w:rPr>
        <w:t>27</w:t>
      </w:r>
      <w:r>
        <w:rPr>
          <w:rFonts w:hint="eastAsia" w:ascii="仿宋" w:hAnsi="仿宋" w:eastAsia="仿宋" w:cs="TT84EB8C4EtCID-WinCharSetFFFF-H"/>
          <w:color w:val="000000"/>
          <w:kern w:val="0"/>
          <w:sz w:val="28"/>
          <w:szCs w:val="28"/>
        </w:rPr>
        <w:t>.</w:t>
      </w:r>
      <w:r>
        <w:rPr>
          <w:rFonts w:hint="eastAsia" w:ascii="仿宋" w:hAnsi="仿宋" w:eastAsia="仿宋" w:cs="TT84EB8C4EtCID-WinCharSetFFFF-H"/>
          <w:color w:val="000000"/>
          <w:kern w:val="0"/>
          <w:sz w:val="28"/>
          <w:szCs w:val="28"/>
          <w:lang w:val="en-US" w:eastAsia="zh-CN"/>
        </w:rPr>
        <w:t>22</w:t>
      </w:r>
      <w:r>
        <w:rPr>
          <w:rFonts w:hint="eastAsia" w:ascii="仿宋" w:hAnsi="仿宋" w:eastAsia="仿宋" w:cs="TT84EB8C4EtCID-WinCharSetFFFF-H"/>
          <w:color w:val="000000"/>
          <w:kern w:val="0"/>
          <w:sz w:val="28"/>
          <w:szCs w:val="28"/>
        </w:rPr>
        <w:t>%</w:t>
      </w:r>
      <w:r>
        <w:rPr>
          <w:rFonts w:hint="eastAsia" w:ascii="仿宋" w:hAnsi="仿宋" w:eastAsia="仿宋" w:cs="TT84EB8C4EtCID-WinCharSetFFFF-H"/>
          <w:color w:val="000000"/>
          <w:kern w:val="0"/>
          <w:sz w:val="28"/>
          <w:szCs w:val="28"/>
          <w:lang w:eastAsia="zh-CN"/>
        </w:rPr>
        <w:t>；</w:t>
      </w:r>
      <w:r>
        <w:rPr>
          <w:rFonts w:hint="eastAsia" w:ascii="仿宋" w:hAnsi="仿宋" w:eastAsia="仿宋" w:cs="TT84EB8C4EtCID-WinCharSetFFFF-H"/>
          <w:color w:val="000000"/>
          <w:kern w:val="0"/>
          <w:sz w:val="28"/>
          <w:szCs w:val="28"/>
        </w:rPr>
        <w:t>对口招生形式招收386人，中高职贯通的招生93人。</w:t>
      </w:r>
    </w:p>
    <w:p>
      <w:pPr>
        <w:autoSpaceDE w:val="0"/>
        <w:autoSpaceDN w:val="0"/>
        <w:adjustRightInd w:val="0"/>
        <w:ind w:firstLine="562" w:firstLineChars="200"/>
        <w:jc w:val="left"/>
        <w:rPr>
          <w:rFonts w:hint="eastAsia" w:ascii="仿宋" w:hAnsi="仿宋" w:eastAsia="仿宋" w:cs="TT84EB8C4EtCID-WinCharSetFFFF-H"/>
          <w:b/>
          <w:bCs/>
          <w:color w:val="000000"/>
          <w:kern w:val="0"/>
          <w:sz w:val="28"/>
          <w:szCs w:val="28"/>
        </w:rPr>
      </w:pPr>
      <w:r>
        <w:rPr>
          <w:rFonts w:hint="eastAsia" w:ascii="仿宋" w:hAnsi="仿宋" w:eastAsia="仿宋" w:cs="TT84EB8C4EtCID-WinCharSetFFFF-H"/>
          <w:b/>
          <w:bCs/>
          <w:color w:val="000000"/>
          <w:kern w:val="0"/>
          <w:sz w:val="28"/>
          <w:szCs w:val="28"/>
        </w:rPr>
        <w:t>2.生源分布</w:t>
      </w:r>
    </w:p>
    <w:p>
      <w:pPr>
        <w:autoSpaceDE w:val="0"/>
        <w:autoSpaceDN w:val="0"/>
        <w:adjustRightInd w:val="0"/>
        <w:ind w:firstLine="560" w:firstLineChars="200"/>
        <w:jc w:val="left"/>
        <w:rPr>
          <w:rFonts w:hint="eastAsia" w:ascii="仿宋" w:hAnsi="仿宋" w:eastAsia="仿宋" w:cs="TT84EB8C4EtCID-WinCharSetFFFF-H"/>
          <w:color w:val="000000"/>
          <w:kern w:val="0"/>
          <w:sz w:val="28"/>
          <w:szCs w:val="28"/>
        </w:rPr>
      </w:pPr>
      <w:r>
        <w:rPr>
          <w:rFonts w:hint="eastAsia" w:ascii="仿宋" w:hAnsi="仿宋" w:eastAsia="仿宋" w:cs="TT84EB8C4EtCID-WinCharSetFFFF-H"/>
          <w:color w:val="000000"/>
          <w:kern w:val="0"/>
          <w:sz w:val="28"/>
          <w:szCs w:val="28"/>
        </w:rPr>
        <w:t>2018年我院招生计划生源中80.08%来自辽宁省，19.92%来自省外，包括黑龙江、河北、内蒙古、吉林、山东、河南、江西、陕西、安徽、广西、四川、甘肃、新疆、贵州等17个省市的考生。</w:t>
      </w:r>
    </w:p>
    <w:p>
      <w:pPr>
        <w:autoSpaceDE w:val="0"/>
        <w:autoSpaceDN w:val="0"/>
        <w:adjustRightInd w:val="0"/>
        <w:ind w:firstLine="562" w:firstLineChars="200"/>
        <w:jc w:val="left"/>
        <w:rPr>
          <w:rFonts w:hint="eastAsia" w:ascii="仿宋" w:hAnsi="仿宋" w:eastAsia="仿宋" w:cs="TT84EB8C4EtCID-WinCharSetFFFF-H"/>
          <w:b/>
          <w:bCs/>
          <w:color w:val="000000"/>
          <w:kern w:val="0"/>
          <w:sz w:val="28"/>
          <w:szCs w:val="28"/>
        </w:rPr>
      </w:pPr>
      <w:r>
        <w:rPr>
          <w:rFonts w:hint="eastAsia" w:ascii="仿宋" w:hAnsi="仿宋" w:eastAsia="仿宋" w:cs="TT84EB8C4EtCID-WinCharSetFFFF-H"/>
          <w:b/>
          <w:bCs/>
          <w:color w:val="000000"/>
          <w:kern w:val="0"/>
          <w:sz w:val="28"/>
          <w:szCs w:val="28"/>
        </w:rPr>
        <w:t>3.生源质量</w:t>
      </w:r>
    </w:p>
    <w:p>
      <w:pPr>
        <w:autoSpaceDE w:val="0"/>
        <w:autoSpaceDN w:val="0"/>
        <w:adjustRightInd w:val="0"/>
        <w:ind w:firstLine="560" w:firstLineChars="200"/>
        <w:jc w:val="left"/>
        <w:rPr>
          <w:rFonts w:hint="eastAsia" w:ascii="仿宋" w:hAnsi="仿宋" w:eastAsia="仿宋" w:cs="TT84EB8C4EtCID-WinCharSetFFFF-H"/>
          <w:color w:val="000000"/>
          <w:kern w:val="0"/>
          <w:sz w:val="28"/>
          <w:szCs w:val="28"/>
        </w:rPr>
      </w:pPr>
      <w:r>
        <w:rPr>
          <w:rFonts w:hint="eastAsia" w:ascii="仿宋" w:hAnsi="仿宋" w:eastAsia="仿宋" w:cs="TT84EB8C4EtCID-WinCharSetFFFF-H"/>
          <w:color w:val="000000"/>
          <w:kern w:val="0"/>
          <w:sz w:val="28"/>
          <w:szCs w:val="28"/>
        </w:rPr>
        <w:t>近两年，学院生源质量不断提高。在全省招生形势严峻的情况下，2018年我院普通高中高考招生录取分数高于省控线，以辽宁省统招录取分数情况分析：普通类一次投档文科最高分为511，最低分为414分，高出专科控制线234分，比去年同比提高31分；理科最高分为439分，最低分为310，高出专科控制线130分，与去年同期相比提高1分。第一次征集志愿文科最低分为429分，理科最低分为319分。</w:t>
      </w:r>
    </w:p>
    <w:p>
      <w:pPr>
        <w:keepNext w:val="0"/>
        <w:keepLines w:val="0"/>
        <w:widowControl/>
        <w:suppressLineNumbers w:val="0"/>
        <w:shd w:val="clear" w:fill="FFFFFF"/>
        <w:spacing w:before="0" w:beforeAutospacing="0" w:after="0" w:afterAutospacing="0" w:line="315" w:lineRule="atLeast"/>
        <w:ind w:right="0" w:firstLine="602" w:firstLineChars="200"/>
        <w:jc w:val="both"/>
        <w:rPr>
          <w:rFonts w:hint="eastAsia" w:ascii="仿宋" w:hAnsi="仿宋" w:eastAsia="仿宋" w:cs="仿宋"/>
          <w:b/>
          <w:bCs/>
          <w:i w:val="0"/>
          <w:caps w:val="0"/>
          <w:color w:val="333333"/>
          <w:spacing w:val="0"/>
          <w:kern w:val="0"/>
          <w:sz w:val="30"/>
          <w:szCs w:val="30"/>
          <w:shd w:val="clear" w:fill="FFFFFF"/>
          <w:lang w:val="en-US" w:eastAsia="zh-CN" w:bidi="ar"/>
        </w:rPr>
      </w:pPr>
      <w:r>
        <w:rPr>
          <w:rFonts w:hint="eastAsia" w:ascii="仿宋" w:hAnsi="仿宋" w:eastAsia="仿宋" w:cs="仿宋"/>
          <w:b/>
          <w:bCs/>
          <w:i w:val="0"/>
          <w:caps w:val="0"/>
          <w:color w:val="333333"/>
          <w:spacing w:val="0"/>
          <w:kern w:val="0"/>
          <w:sz w:val="30"/>
          <w:szCs w:val="30"/>
          <w:shd w:val="clear" w:fill="FFFFFF"/>
          <w:lang w:val="en-US" w:eastAsia="zh-CN" w:bidi="ar"/>
        </w:rPr>
        <w:t>RW-50 高等职业院校章程制定工作。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2011年11月，教育部颁布了《高等学校章程制定暂行办法》，对高校章程建设进行具体规范和指导。2012年11月，教育部颁布《全面推进依法治校实施纲要》，对制定大学章程的最后期限作出规定，要求到2015年所有高校都要制定章程，形成“一校一章程”的格局。2015年6月形成比较完备的章程草案，并于2015年11月通过教育厅的核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1.章程主要内容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为确保章程制定工作的严肃性、规范性、科学性，在制定章程的过程中，我们坚持按照“法治、自主、规范、民主”四个基本原则，参照了国家法律法规、党内法规、教育部和辽宁省有关政策文件等相关依据。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现有章程（草案）基本涵盖了大学章程应该载明的主要内容，为九章七十三条，</w:t>
      </w:r>
      <w:r>
        <w:rPr>
          <w:rFonts w:hint="eastAsia" w:ascii="仿宋_GB2312" w:hAnsi="仿宋_GB2312" w:eastAsia="仿宋_GB2312" w:cs="仿宋_GB2312"/>
          <w:sz w:val="28"/>
          <w:szCs w:val="28"/>
          <w:highlight w:val="none"/>
          <w:lang w:val="en-US" w:eastAsia="zh-CN"/>
        </w:rPr>
        <w:t>10390</w:t>
      </w:r>
      <w:r>
        <w:rPr>
          <w:rFonts w:hint="eastAsia" w:ascii="仿宋_GB2312" w:hAnsi="仿宋_GB2312" w:eastAsia="仿宋_GB2312" w:cs="仿宋_GB2312"/>
          <w:sz w:val="28"/>
          <w:szCs w:val="28"/>
          <w:lang w:val="en-US" w:eastAsia="zh-CN"/>
        </w:rPr>
        <w:t>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第一章总则，阐明了学院的名称、组织性质、办学层次、发展定位、办学特色、育人理念。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第二章组织机构，主要清晰地界定学院内部的治理结构、治理关系和运行机制。这是章程的重点和主体，也是占篇幅比较大的。包括对党委领导下的院长负责制、学术委员会、教学指导委员会、教职工代表大会等制度及组织机构的职责权限、议事规则、决策程序等的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第三章办学活动，主要对学院的教育形式、人才培养、专业设置、调整等进行阐述。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560" w:firstLineChars="20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第四章、第五章对教职工、学生的权利义务及相关问题作了规定。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第六章是对经费、资产、后勤管理的具体规定。表明学院办学经费的来源渠道、资产属性、管理制度。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第七章外部联系，主要是对外部关系的说明。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第八章是学校标识，明确了学校校名、校徽、校旗、校庆日。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第九章附则，明确了章程制定和修订的基本程序、解释权等。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
          <w:bCs/>
          <w:sz w:val="28"/>
          <w:szCs w:val="28"/>
          <w:lang w:val="en-US"/>
        </w:rPr>
      </w:pPr>
      <w:r>
        <w:rPr>
          <w:rFonts w:hint="eastAsia" w:ascii="仿宋_GB2312" w:hAnsi="仿宋_GB2312" w:eastAsia="仿宋_GB2312" w:cs="仿宋_GB2312"/>
          <w:b/>
          <w:bCs/>
          <w:sz w:val="28"/>
          <w:szCs w:val="28"/>
          <w:lang w:val="en-US" w:eastAsia="zh-CN"/>
        </w:rPr>
        <w:t xml:space="preserve">    2.</w:t>
      </w:r>
      <w:r>
        <w:rPr>
          <w:rFonts w:hint="eastAsia" w:ascii="仿宋_GB2312" w:hAnsi="仿宋_GB2312" w:eastAsia="仿宋_GB2312" w:cs="仿宋_GB2312"/>
          <w:b/>
          <w:bCs/>
          <w:sz w:val="28"/>
          <w:szCs w:val="28"/>
          <w:lang w:val="en-US"/>
        </w:rPr>
        <w:t>章程的主要</w:t>
      </w:r>
      <w:r>
        <w:rPr>
          <w:rFonts w:hint="eastAsia" w:ascii="仿宋_GB2312" w:hAnsi="仿宋_GB2312" w:eastAsia="仿宋_GB2312" w:cs="仿宋_GB2312"/>
          <w:b/>
          <w:bCs/>
          <w:sz w:val="28"/>
          <w:szCs w:val="28"/>
          <w:lang w:val="en-US" w:eastAsia="zh-CN"/>
        </w:rPr>
        <w:t>特点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一是</w:t>
      </w:r>
      <w:r>
        <w:rPr>
          <w:rFonts w:hint="eastAsia" w:ascii="仿宋_GB2312" w:hAnsi="仿宋_GB2312" w:eastAsia="仿宋_GB2312" w:cs="仿宋_GB2312"/>
          <w:sz w:val="28"/>
          <w:szCs w:val="28"/>
          <w:lang w:val="en-US"/>
        </w:rPr>
        <w:t>体现了学校办学历史与文化内涵，如校训和办学理念。</w:t>
      </w:r>
      <w:r>
        <w:rPr>
          <w:rFonts w:hint="eastAsia" w:ascii="仿宋_GB2312" w:hAnsi="仿宋_GB2312" w:eastAsia="仿宋_GB2312" w:cs="仿宋_GB2312"/>
          <w:sz w:val="28"/>
          <w:szCs w:val="28"/>
          <w:lang w:val="en-US" w:eastAsia="zh-CN"/>
        </w:rPr>
        <w:t>二是</w:t>
      </w:r>
      <w:r>
        <w:rPr>
          <w:rFonts w:hint="eastAsia" w:ascii="仿宋_GB2312" w:hAnsi="仿宋_GB2312" w:eastAsia="仿宋_GB2312" w:cs="仿宋_GB2312"/>
          <w:sz w:val="28"/>
          <w:szCs w:val="28"/>
          <w:lang w:val="en-US"/>
        </w:rPr>
        <w:t>完善了学校内部治理结构所涉及体制机制，如党委领导下的</w:t>
      </w:r>
      <w:r>
        <w:rPr>
          <w:rFonts w:hint="eastAsia" w:ascii="仿宋_GB2312" w:hAnsi="仿宋_GB2312" w:eastAsia="仿宋_GB2312" w:cs="仿宋_GB2312"/>
          <w:sz w:val="28"/>
          <w:szCs w:val="28"/>
          <w:lang w:val="en-US" w:eastAsia="zh-CN"/>
        </w:rPr>
        <w:t>院</w:t>
      </w:r>
      <w:r>
        <w:rPr>
          <w:rFonts w:hint="eastAsia" w:ascii="仿宋_GB2312" w:hAnsi="仿宋_GB2312" w:eastAsia="仿宋_GB2312" w:cs="仿宋_GB2312"/>
          <w:sz w:val="28"/>
          <w:szCs w:val="28"/>
          <w:lang w:val="en-US"/>
        </w:rPr>
        <w:t>长负责制和学</w:t>
      </w:r>
      <w:r>
        <w:rPr>
          <w:rFonts w:hint="eastAsia" w:ascii="仿宋_GB2312" w:hAnsi="仿宋_GB2312" w:eastAsia="仿宋_GB2312" w:cs="仿宋_GB2312"/>
          <w:sz w:val="28"/>
          <w:szCs w:val="28"/>
          <w:lang w:val="en-US" w:eastAsia="zh-CN"/>
        </w:rPr>
        <w:t>院</w:t>
      </w:r>
      <w:r>
        <w:rPr>
          <w:rFonts w:hint="eastAsia" w:ascii="仿宋_GB2312" w:hAnsi="仿宋_GB2312" w:eastAsia="仿宋_GB2312" w:cs="仿宋_GB2312"/>
          <w:sz w:val="28"/>
          <w:szCs w:val="28"/>
          <w:lang w:val="en-US"/>
        </w:rPr>
        <w:t>民主管理模式等内容。</w:t>
      </w:r>
      <w:r>
        <w:rPr>
          <w:rFonts w:hint="eastAsia" w:ascii="仿宋_GB2312" w:hAnsi="仿宋_GB2312" w:eastAsia="仿宋_GB2312" w:cs="仿宋_GB2312"/>
          <w:sz w:val="28"/>
          <w:szCs w:val="28"/>
          <w:lang w:val="en-US" w:eastAsia="zh-CN"/>
        </w:rPr>
        <w:t>三是</w:t>
      </w:r>
      <w:r>
        <w:rPr>
          <w:rFonts w:hint="eastAsia" w:ascii="仿宋_GB2312" w:hAnsi="仿宋_GB2312" w:eastAsia="仿宋_GB2312" w:cs="仿宋_GB2312"/>
          <w:sz w:val="28"/>
          <w:szCs w:val="28"/>
          <w:lang w:val="en-US"/>
        </w:rPr>
        <w:t>突出了学生和教师在办学活动中的主体地位。</w:t>
      </w:r>
      <w:r>
        <w:rPr>
          <w:rFonts w:hint="eastAsia" w:ascii="仿宋_GB2312" w:hAnsi="仿宋_GB2312" w:eastAsia="仿宋_GB2312" w:cs="仿宋_GB2312"/>
          <w:sz w:val="28"/>
          <w:szCs w:val="28"/>
          <w:lang w:val="en-US" w:eastAsia="zh-CN"/>
        </w:rPr>
        <w:t>四是</w:t>
      </w:r>
      <w:r>
        <w:rPr>
          <w:rFonts w:hint="eastAsia" w:ascii="仿宋_GB2312" w:hAnsi="仿宋_GB2312" w:eastAsia="仿宋_GB2312" w:cs="仿宋_GB2312"/>
          <w:sz w:val="28"/>
          <w:szCs w:val="28"/>
          <w:lang w:val="en-US"/>
        </w:rPr>
        <w:t>彰显了学术权力在治学中的主导地位。</w:t>
      </w:r>
      <w:r>
        <w:rPr>
          <w:rFonts w:hint="eastAsia" w:ascii="仿宋_GB2312" w:hAnsi="仿宋_GB2312" w:eastAsia="仿宋_GB2312" w:cs="仿宋_GB2312"/>
          <w:sz w:val="28"/>
          <w:szCs w:val="28"/>
          <w:lang w:val="en-US" w:eastAsia="zh-CN"/>
        </w:rPr>
        <w:t>五是</w:t>
      </w:r>
      <w:r>
        <w:rPr>
          <w:rFonts w:hint="eastAsia" w:ascii="仿宋_GB2312" w:hAnsi="仿宋_GB2312" w:eastAsia="仿宋_GB2312" w:cs="仿宋_GB2312"/>
          <w:sz w:val="28"/>
          <w:szCs w:val="28"/>
          <w:lang w:val="en-US"/>
        </w:rPr>
        <w:t>明确了学校办学自主权与监督机制。</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rPr>
        <w:t>RW-52</w:t>
      </w:r>
      <w:r>
        <w:rPr>
          <w:rFonts w:hint="eastAsia" w:ascii="仿宋_GB2312" w:hAnsi="仿宋_GB2312" w:eastAsia="仿宋_GB2312" w:cs="仿宋_GB2312"/>
          <w:b/>
          <w:bCs/>
          <w:sz w:val="28"/>
          <w:szCs w:val="28"/>
          <w:lang w:val="en-US" w:eastAsia="zh-CN"/>
        </w:rPr>
        <w:t xml:space="preserve">  高等职业教育质量年度报告制度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rPr>
        <w:t>根据</w:t>
      </w:r>
      <w:r>
        <w:rPr>
          <w:rFonts w:hint="eastAsia" w:ascii="仿宋_GB2312" w:hAnsi="仿宋_GB2312" w:eastAsia="仿宋_GB2312" w:cs="仿宋_GB2312"/>
          <w:sz w:val="28"/>
          <w:szCs w:val="28"/>
          <w:lang w:val="en-US" w:eastAsia="zh-CN"/>
        </w:rPr>
        <w:t>辽宁</w:t>
      </w:r>
      <w:r>
        <w:rPr>
          <w:rFonts w:hint="eastAsia" w:ascii="仿宋_GB2312" w:hAnsi="仿宋_GB2312" w:eastAsia="仿宋_GB2312" w:cs="仿宋_GB2312"/>
          <w:sz w:val="28"/>
          <w:szCs w:val="28"/>
          <w:lang w:val="en-US"/>
        </w:rPr>
        <w:t>省教育厅办公室《关于编制和报送高等职业教育质量年度报告（201</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lang w:val="en-US"/>
        </w:rPr>
        <w:t>）的通知》，为做好今年我</w:t>
      </w:r>
      <w:r>
        <w:rPr>
          <w:rFonts w:hint="eastAsia" w:ascii="仿宋_GB2312" w:hAnsi="仿宋_GB2312" w:eastAsia="仿宋_GB2312" w:cs="仿宋_GB2312"/>
          <w:sz w:val="28"/>
          <w:szCs w:val="28"/>
          <w:lang w:val="en-US" w:eastAsia="zh-CN"/>
        </w:rPr>
        <w:t>院</w:t>
      </w:r>
      <w:r>
        <w:rPr>
          <w:rFonts w:hint="eastAsia" w:ascii="仿宋_GB2312" w:hAnsi="仿宋_GB2312" w:eastAsia="仿宋_GB2312" w:cs="仿宋_GB2312"/>
          <w:sz w:val="28"/>
          <w:szCs w:val="28"/>
          <w:lang w:val="en-US"/>
        </w:rPr>
        <w:t>质量年报的编制和发布工作，认真分析诊断学校人才培养中存在的问题，不断反馈于教育教学实践，提高我校人才培养质量，</w:t>
      </w:r>
      <w:r>
        <w:rPr>
          <w:rFonts w:hint="eastAsia" w:ascii="仿宋_GB2312" w:hAnsi="仿宋_GB2312" w:eastAsia="仿宋_GB2312" w:cs="仿宋_GB2312"/>
          <w:sz w:val="28"/>
          <w:szCs w:val="28"/>
          <w:lang w:val="en-US" w:eastAsia="zh-CN"/>
        </w:rPr>
        <w:t>目前正在编制我院</w:t>
      </w:r>
      <w:r>
        <w:rPr>
          <w:rFonts w:hint="eastAsia" w:ascii="仿宋_GB2312" w:hAnsi="仿宋_GB2312" w:eastAsia="仿宋_GB2312" w:cs="仿宋_GB2312"/>
          <w:sz w:val="28"/>
          <w:szCs w:val="28"/>
          <w:lang w:val="en-US"/>
        </w:rPr>
        <w:t>《高等职业教育质量年度报告（201</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lang w:val="en-US"/>
        </w:rPr>
        <w:t>）》。该报告是一份关于学院整体工作质量的综合性报告，要以改革创新、服务发展为主线，除了呈现我院实际办学条件外，还应重点反映我院教育教学改革举措及人才培养工作成效。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rPr>
        <w:t>学院高度重视年度质量报告撰写工作，认真学习贯彻相关文件精神，全面提高对质量年度报告的理解和重视。增强学院培养质量的主体意识，完善对教学质量科学、客观、准确地监控机制，及时总结、反思、评价、修正教育教学工作中出现的问题，注意从培养质量反思入手，主动调整专业，设定课程、细化管理。学院专门召开人才培养质量年度报告编制工作会议，全面布置年度报告的编制任务及要求，根据学院实际情况，分解撰写任务，汇总完成后，提交院长办公会审核，通过后，按要求上传至相关网站。</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rPr>
        <w:t>RW-53</w:t>
      </w:r>
      <w:r>
        <w:rPr>
          <w:rFonts w:hint="eastAsia" w:ascii="仿宋_GB2312" w:hAnsi="仿宋_GB2312" w:eastAsia="仿宋_GB2312" w:cs="仿宋_GB2312"/>
          <w:b/>
          <w:bCs/>
          <w:sz w:val="28"/>
          <w:szCs w:val="28"/>
          <w:lang w:val="en-US" w:eastAsia="zh-CN"/>
        </w:rPr>
        <w:t xml:space="preserve">  开展高职院校教学诊断和改进工作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1.质量管理与监控体系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院秉承“质量兴校、人才强校”发展思路，制定了《辽宁轻工职业学院内部质量保证体系建设与运行实施方案》，并按照实施方案推进教学质量诊改工作。质量管理与评价中心负责学校内部质量保证体系的系统完善、运行过程监控与效果评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院每年召开校企合作理事会，进一步加强学校与企业在人才培养、专业建设、实习就业、订单培养、职工培训、技术服务等方面的合作，共同为服务地方经济社会发展做出更大的贡献。专业建设指导委员会、教学指导委员会、课程建设指导委员会、学术委员会等机构按规程按期召开相关会议，对学院专业建设、发展、改革和管理的重大事项进行监督、指导及审议。学院督导办制定了详细的课堂教学督导计划，随机进入课堂听课，定期召开督导员工作例会及学生信息员会议，及时将结果及建议反馈给相关部门和人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2.质量管理与监控制度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院以“目标链”、“标准链”为切入点，结合学院“十三五”规划、学院专项项目建设任务和常规工作制定学院年度工作计划并按部门进行任务分解，细化工作验收标准，时时督促工作落实与跟踪质量完成情况。如发现问题，则及时纠偏、督促整改至完成，形成闭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院各项目（如学院十三五规划、辽宁省示范校等建设项目等）均采用“PDCA”质量循环的监控体系，在专业、课程、教师和学生四个层面也建立起螺旋递进式常态化自我诊改机制，并制定相应的专项管理办法。学院建立专业动态调整机制，新增专业严格履行论证、评审及申报程序。根据国家相关规定及政策，下发专业人才培养方案和专业课程标准制（修）订指导性意见，组织各专业完成专业人才培养方案和课程标准的制（修）订工作，开展优秀人才培养方案和优秀课程标准评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为进一步加强全体教职工的质量理念，学院组织150余名教职员工参加曾照香教授《全国职业院校人才培养质量持续提升的有效推进策略与实施暨诊改阶段性成果案例借鉴高级研修班》和熊发涯教授“诊断与改进高级研修班”学习培训活动，借鉴其他院校诊改经验，加快推进学院内部质量诊断与改进工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XM</w:t>
      </w:r>
      <w:r>
        <w:rPr>
          <w:rFonts w:hint="eastAsia" w:ascii="仿宋_GB2312" w:hAnsi="仿宋_GB2312" w:eastAsia="仿宋_GB2312" w:cs="仿宋_GB2312"/>
          <w:b/>
          <w:bCs/>
          <w:sz w:val="28"/>
          <w:szCs w:val="28"/>
          <w:lang w:val="en-US"/>
        </w:rPr>
        <w:t>-</w:t>
      </w:r>
      <w:r>
        <w:rPr>
          <w:rFonts w:hint="eastAsia" w:ascii="仿宋_GB2312" w:hAnsi="仿宋_GB2312" w:eastAsia="仿宋_GB2312" w:cs="仿宋_GB2312"/>
          <w:b/>
          <w:bCs/>
          <w:sz w:val="28"/>
          <w:szCs w:val="28"/>
          <w:lang w:val="en-US" w:eastAsia="zh-CN"/>
        </w:rPr>
        <w:t>01  骨干专业建设工作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院按照校企合作、工学结合的人才培养模式完成了骨干专业的建设规划并制定了具体的实施方案。学院现有智能制造和现代纺织服装专业群共包含10个专业，在校生1916人，开展订单班13个，参与学生382人。建有校内实训基地45个，1697个工位，占地7172平方米；校外实训基地62个。专任教师48人，双师型教师占91.67%。本年度共投入建设资金</w:t>
      </w:r>
      <w:r>
        <w:rPr>
          <w:rFonts w:hint="eastAsia" w:ascii="仿宋_GB2312" w:hAnsi="仿宋_GB2312" w:eastAsia="仿宋_GB2312" w:cs="仿宋_GB2312"/>
          <w:b w:val="0"/>
          <w:bCs w:val="0"/>
          <w:sz w:val="28"/>
          <w:szCs w:val="28"/>
          <w:highlight w:val="none"/>
          <w:lang w:val="en-US" w:eastAsia="zh-CN"/>
        </w:rPr>
        <w:t>2200</w:t>
      </w:r>
      <w:r>
        <w:rPr>
          <w:rFonts w:hint="eastAsia" w:ascii="仿宋_GB2312" w:hAnsi="仿宋_GB2312" w:eastAsia="仿宋_GB2312" w:cs="仿宋_GB2312"/>
          <w:b w:val="0"/>
          <w:bCs w:val="0"/>
          <w:sz w:val="28"/>
          <w:szCs w:val="28"/>
          <w:lang w:val="en-US" w:eastAsia="zh-CN"/>
        </w:rPr>
        <w:t>万。同时，学院自主开发了“高水平专业群建设管理平台”，通过信息化手</w:t>
      </w:r>
      <w:bookmarkStart w:id="0" w:name="_GoBack"/>
      <w:bookmarkEnd w:id="0"/>
      <w:r>
        <w:rPr>
          <w:rFonts w:hint="eastAsia" w:ascii="仿宋_GB2312" w:hAnsi="仿宋_GB2312" w:eastAsia="仿宋_GB2312" w:cs="仿宋_GB2312"/>
          <w:b w:val="0"/>
          <w:bCs w:val="0"/>
          <w:sz w:val="28"/>
          <w:szCs w:val="28"/>
          <w:lang w:val="en-US" w:eastAsia="zh-CN"/>
        </w:rPr>
        <w:t>段，实现对项目的进度管理、质量管理和资金管理。</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建设期间，学院积极加强校内外实训基地建设，积极与企业开展多种形式的育人模式，校企深度融合培养了一批专兼职结合、理论与实践紧密结合的高水平育人队伍。通过一年的建设，两个专业群取得了丰硕的成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1.校企合作协同育人</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院将人才培养与产业需求供给侧紧密融合，教育教学与企业生产实践紧密结合，专业建设与产业升级协同发展，人才供给与企业需求同频共振。校企双方积极开展多种形式的育人模式。2018年4月，我院与格劳博机床（大连）有限公司和大连迪尚华盛时装有限公司等正式签署“现代学徒制”校企合作协议。智能制造专业群获批国家级第三批现代学徒制试点单位，现代纺织服装专业群和智能制造专业群同时获批为辽宁省现代学徒制试点单位。校企合作开展订单班、冠名班、定制班等订单式培养，骨干专业订单式培养输出率超过50%；与此同时，学院与迪尚集团积极开展混合所有制二级学院的合作，并已完成前期筹备工作。</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2.产教融合共建实训基地</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进一步完善校内外实训基地建设，注重校内生产性实践基地与校外实习实训基地的有机衔接，制订和完善顶岗实习的过程控制与管理制度。在校企融合的办学模式下，搭建“产训结合”的实践教学平台，实施动态调整，现有校外实习基地188家。2018年学院投入专项资金342万元，按照环境育人的规划理念对校内实基地进行升级改造，目前校内实训中心、实习工厂、工作室117个，总建筑面积达21158.92平方米，教学仪器设备总值5518.72万元，校内实践教学工位数为3577。为了与自贸区经济发展和供给侧结构改革紧密衔接，改造后的校内实训基地均已具备实景式全真模拟教学条件，集教学、生产、培训、职业技能鉴定和技术服务功能为一体，同时也是学生创新创业的研发基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3.内培外引打造优秀师资队伍</w:t>
      </w:r>
    </w:p>
    <w:p>
      <w:pPr>
        <w:ind w:firstLine="562"/>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院高度重视师资队伍建设，实施名师战略，完善体制机制，不断优化师资队伍。坚持专兼并举，引进、培养和使用相结合，努力打造一支专兼结合、素质优良、结构合理、师德高尚的“双师”素质教师队伍。教师公开发表论文或出版教材115篇（部），承担在研课题197项，其中横向课题31项。获得技术专利（技术发明）28项，其中主持23项。主持各级获奖项目（包括行政性奖励）225项。</w:t>
      </w:r>
    </w:p>
    <w:p>
      <w:pPr>
        <w:ind w:firstLine="562"/>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院通过名师工作室发挥名师的骨干、带头、示范、辐射、引领作用,引领青年教师专业成长。2018年我院纺织服装系的“品牌服装设计工作室”,被辽宁省教育厅遴选为辽宁省职业教育“双师型”名师工作室；今年6月，艺术设计系教师宋荣耀老师的油画工作室重建并更名为“国家艺术基金宋荣耀工作室”。自成立以来，多次参与全国美术大展并多次获得奖项；入选辽宁省教师技艺技能传承创新平台项目一项。</w:t>
      </w:r>
    </w:p>
    <w:p>
      <w:pPr>
        <w:ind w:firstLine="562"/>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为促进和推动校企深度融合，学院选择前期合作基础和成效好、与专业关联度大的企业，建设打造40个校企合作教师工作站，以专业教师挂职锻炼为突破口，开展全方位的深度合作，打造校企融合的标杆与典范。 同时，学院创建“技能大师工作室”，能够充分发挥行业领军人才融入到教学当中，帮助解决专业技术、技能性难题、组织技术创新，起到带徒传技等的重要作用，并协助将重大的技术项目研发成果在社会中推广使用。</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4.技能大赛助力学生成长成才</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学院制定了覆盖校赛、市赛、省赛、国赛的四级技能竞赛制度，营造了大赛良好氛围，形成人人参赛、逐级竞赛的良好局面。举办内容丰富、形式多样、特色突出、受益面大的校本竞赛。通过备赛和参赛，教师和学生的专业能力与团队精神都得到了锻炼和提升，充分展示了我院学生扎实的职业技能、良好的综合素质、吃苦耐劳的精神风貌与合作进取的团队精神，同时，通过参赛，也有效地推进了我院专业教育教学改革，达到了以赛促学，以赛促教的目标。2017-2018学年学生共参加技能大赛62项，学院组织参加2018年辽宁省职业院校技能竞赛报名赛事27项，参赛学生达90人，经过激烈的角逐与竞争，我院获一等奖6人次，二等奖6人次，三等奖13人次，12名学生代表辽宁省参加了2018年全国职业院校学生技能大赛电子产品设计及制作、现代电气控制系统安装与调试、服装设计与工艺、物联网技术应用、机电一体化5个赛项，获得国赛三等奖2人次，二等奖2人次的好成绩,学院荣获2018年辽宁省职业院校技能大赛优秀组织奖和教师信息化大赛优秀组织奖。学院制定《辽宁轻工职业学院职业技能竞赛管理暂行办法》，对在大赛取得优异成绩的学生和指导教师给予表彰和奖励。</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2" w:firstLineChars="200"/>
        <w:jc w:val="both"/>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XM</w:t>
      </w:r>
      <w:r>
        <w:rPr>
          <w:rFonts w:hint="eastAsia" w:ascii="仿宋_GB2312" w:hAnsi="仿宋_GB2312" w:eastAsia="仿宋_GB2312" w:cs="仿宋_GB2312"/>
          <w:b/>
          <w:bCs/>
          <w:sz w:val="28"/>
          <w:szCs w:val="28"/>
          <w:lang w:val="en-US"/>
        </w:rPr>
        <w:t>-</w:t>
      </w:r>
      <w:r>
        <w:rPr>
          <w:rFonts w:hint="eastAsia" w:ascii="仿宋_GB2312" w:hAnsi="仿宋_GB2312" w:eastAsia="仿宋_GB2312" w:cs="仿宋_GB2312"/>
          <w:b/>
          <w:bCs/>
          <w:sz w:val="28"/>
          <w:szCs w:val="28"/>
          <w:lang w:val="en-US" w:eastAsia="zh-CN"/>
        </w:rPr>
        <w:t>01  名师工作室建设情况</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2018年4月，我院“李敏‘双师型’名师工作室”和“传统服饰文化技艺技能传承创新平台”获批入选。学院以此为契机，积极开展团队研修、协同创新、项目合作，不断提升教师实践教学能力、科研教研能力和研究协作能力，培养造就一批师德高尚、素质优良、技艺精湛、创新能力强的高素质专业化“双师型”教师，为辽宁省区域经济发展提供强有力的智力支持和人才保证。</w:t>
      </w:r>
    </w:p>
    <w:p>
      <w:pPr>
        <w:keepNext w:val="0"/>
        <w:keepLines w:val="0"/>
        <w:widowControl/>
        <w:suppressLineNumbers w:val="0"/>
        <w:shd w:val="clear" w:fill="FFFFFF"/>
        <w:spacing w:before="0" w:beforeAutospacing="0" w:after="0" w:afterAutospacing="0" w:line="315" w:lineRule="atLeast"/>
        <w:ind w:left="0" w:right="0" w:firstLine="602"/>
        <w:jc w:val="left"/>
        <w:rPr>
          <w:rFonts w:hint="eastAsia" w:ascii="仿宋" w:hAnsi="仿宋" w:eastAsia="仿宋" w:cs="仿宋"/>
          <w:i w:val="0"/>
          <w:caps w:val="0"/>
          <w:color w:val="333333"/>
          <w:spacing w:val="0"/>
          <w:kern w:val="0"/>
          <w:sz w:val="30"/>
          <w:szCs w:val="30"/>
          <w:shd w:val="clear" w:fill="FFFFFF"/>
          <w:lang w:val="en-US" w:eastAsia="zh-CN" w:bidi="ar"/>
        </w:rPr>
      </w:pPr>
      <w:r>
        <w:rPr>
          <w:rFonts w:hint="eastAsia" w:ascii="仿宋" w:hAnsi="仿宋" w:eastAsia="仿宋" w:cs="仿宋"/>
          <w:b/>
          <w:i w:val="0"/>
          <w:caps w:val="0"/>
          <w:color w:val="333333"/>
          <w:spacing w:val="0"/>
          <w:kern w:val="0"/>
          <w:sz w:val="30"/>
          <w:szCs w:val="30"/>
          <w:shd w:val="clear" w:fill="FFFFFF"/>
          <w:lang w:val="en-US" w:eastAsia="zh-CN" w:bidi="ar"/>
        </w:rPr>
        <w:t>四、存在的问题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rPr>
        <w:t>自组织实施“创新发展行动计划”</w:t>
      </w:r>
      <w:r>
        <w:rPr>
          <w:rFonts w:hint="eastAsia" w:ascii="仿宋_GB2312" w:hAnsi="仿宋_GB2312" w:eastAsia="仿宋_GB2312" w:cs="仿宋_GB2312"/>
          <w:sz w:val="28"/>
          <w:szCs w:val="28"/>
          <w:lang w:val="en-US" w:eastAsia="zh-CN"/>
        </w:rPr>
        <w:t>、高水平专业群建设和示范校建设</w:t>
      </w:r>
      <w:r>
        <w:rPr>
          <w:rFonts w:hint="eastAsia" w:ascii="仿宋_GB2312" w:hAnsi="仿宋_GB2312" w:eastAsia="仿宋_GB2312" w:cs="仿宋_GB2312"/>
          <w:sz w:val="28"/>
          <w:szCs w:val="28"/>
          <w:lang w:val="en-US"/>
        </w:rPr>
        <w:t>以来，学校励精图治、开拓创新、攻坚克难，办学治校资源、改革发展活力、合作人才培养、社会服务</w:t>
      </w:r>
      <w:r>
        <w:rPr>
          <w:rFonts w:hint="eastAsia" w:ascii="仿宋_GB2312" w:hAnsi="仿宋_GB2312" w:eastAsia="仿宋_GB2312" w:cs="仿宋_GB2312"/>
          <w:sz w:val="28"/>
          <w:szCs w:val="28"/>
          <w:lang w:val="en-US" w:eastAsia="zh-CN"/>
        </w:rPr>
        <w:t>能力</w:t>
      </w:r>
      <w:r>
        <w:rPr>
          <w:rFonts w:hint="eastAsia" w:ascii="仿宋_GB2312" w:hAnsi="仿宋_GB2312" w:eastAsia="仿宋_GB2312" w:cs="仿宋_GB2312"/>
          <w:sz w:val="28"/>
          <w:szCs w:val="28"/>
          <w:lang w:val="en-US"/>
        </w:rPr>
        <w:t>、质量</w:t>
      </w:r>
      <w:r>
        <w:rPr>
          <w:rFonts w:hint="eastAsia" w:ascii="仿宋_GB2312" w:hAnsi="仿宋_GB2312" w:eastAsia="仿宋_GB2312" w:cs="仿宋_GB2312"/>
          <w:sz w:val="28"/>
          <w:szCs w:val="28"/>
          <w:lang w:val="en-US" w:eastAsia="zh-CN"/>
        </w:rPr>
        <w:t>保障机制</w:t>
      </w:r>
      <w:r>
        <w:rPr>
          <w:rFonts w:hint="eastAsia" w:ascii="仿宋_GB2312" w:hAnsi="仿宋_GB2312" w:eastAsia="仿宋_GB2312" w:cs="仿宋_GB2312"/>
          <w:sz w:val="28"/>
          <w:szCs w:val="28"/>
          <w:lang w:val="en-US"/>
        </w:rPr>
        <w:t>、思政教育改进等各方面工作都取得较好成绩，但仍存在不足，如创新发展、督查、整改、奖励等工作机制需要进一步完善和有效落实，</w:t>
      </w:r>
      <w:r>
        <w:rPr>
          <w:rFonts w:hint="eastAsia" w:ascii="仿宋_GB2312" w:hAnsi="仿宋_GB2312" w:eastAsia="仿宋_GB2312" w:cs="仿宋_GB2312"/>
          <w:sz w:val="28"/>
          <w:szCs w:val="28"/>
          <w:lang w:val="en-US" w:eastAsia="zh-CN"/>
        </w:rPr>
        <w:t>各项</w:t>
      </w:r>
      <w:r>
        <w:rPr>
          <w:rFonts w:hint="eastAsia" w:ascii="仿宋_GB2312" w:hAnsi="仿宋_GB2312" w:eastAsia="仿宋_GB2312" w:cs="仿宋_GB2312"/>
          <w:sz w:val="28"/>
          <w:szCs w:val="28"/>
          <w:lang w:val="en-US"/>
        </w:rPr>
        <w:t>任务实施的方法、效率待进一步改进与提高，创新发展的意识和能力需进一步加强和提升等。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rPr>
        <w:t>学校下一步将坚持问题导向和需求导向，聚焦“质量、标准、改革、服务、活力、资源”，针对性地研究、分析问题，完善落实工作机制，进一步提高工作效能，强化创新发展意识和能力提升，使学校事业创新发展工作再上新台阶。</w:t>
      </w:r>
    </w:p>
    <w:p>
      <w:pPr>
        <w:keepNext w:val="0"/>
        <w:keepLines w:val="0"/>
        <w:widowControl/>
        <w:suppressLineNumbers w:val="0"/>
        <w:shd w:val="clear" w:fill="FFFFFF"/>
        <w:spacing w:before="0" w:beforeAutospacing="0" w:after="0" w:afterAutospacing="0" w:line="315" w:lineRule="atLeast"/>
        <w:ind w:left="0" w:right="0" w:firstLine="480"/>
        <w:jc w:val="both"/>
        <w:rPr>
          <w:rFonts w:hint="eastAsia" w:ascii="仿宋" w:hAnsi="仿宋" w:eastAsia="仿宋" w:cs="仿宋"/>
          <w:i w:val="0"/>
          <w:caps w:val="0"/>
          <w:color w:val="333333"/>
          <w:spacing w:val="0"/>
          <w:kern w:val="0"/>
          <w:sz w:val="30"/>
          <w:szCs w:val="30"/>
          <w:shd w:val="clear" w:fill="FFFFFF"/>
          <w:lang w:val="en-US" w:eastAsia="zh-CN" w:bidi="ar"/>
        </w:rPr>
      </w:pPr>
    </w:p>
    <w:p>
      <w:pPr>
        <w:jc w:val="center"/>
        <w:rPr>
          <w:rFonts w:hint="eastAsia" w:ascii="仿宋" w:hAnsi="仿宋" w:eastAsia="仿宋" w:cs="仿宋"/>
          <w:b/>
          <w:bCs/>
          <w:sz w:val="32"/>
          <w:szCs w:val="32"/>
          <w:lang w:val="en-US" w:eastAsia="zh-CN"/>
        </w:rPr>
      </w:pPr>
    </w:p>
    <w:sectPr>
      <w:headerReference r:id="rId4" w:type="default"/>
      <w:footerReference r:id="rId5" w:type="default"/>
      <w:pgSz w:w="11906" w:h="16838"/>
      <w:pgMar w:top="1440" w:right="1286"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TT84EB8C4EtCID-WinCharSetFFFF-H">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rPr>
                        <w:rFonts w:hint="eastAsia"/>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rPr>
                        <w:rFonts w:hint="eastAsia" w:eastAsiaTheme="minorEastAsia"/>
                        <w:lang w:eastAsia="zh-CN"/>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86A3C"/>
    <w:rsid w:val="03842865"/>
    <w:rsid w:val="05744DBD"/>
    <w:rsid w:val="05D40E38"/>
    <w:rsid w:val="08C54203"/>
    <w:rsid w:val="0A83303E"/>
    <w:rsid w:val="0B840DEF"/>
    <w:rsid w:val="0BC26E11"/>
    <w:rsid w:val="0DB80412"/>
    <w:rsid w:val="1019155F"/>
    <w:rsid w:val="12161B8C"/>
    <w:rsid w:val="133110FF"/>
    <w:rsid w:val="139B5513"/>
    <w:rsid w:val="13C771C2"/>
    <w:rsid w:val="144C2201"/>
    <w:rsid w:val="15204E7A"/>
    <w:rsid w:val="15F15B70"/>
    <w:rsid w:val="174625A8"/>
    <w:rsid w:val="189A5BA6"/>
    <w:rsid w:val="1A8E7237"/>
    <w:rsid w:val="1BA26FEB"/>
    <w:rsid w:val="1E6143A7"/>
    <w:rsid w:val="1E7E3556"/>
    <w:rsid w:val="1EDE1F51"/>
    <w:rsid w:val="205041D0"/>
    <w:rsid w:val="210E2FA4"/>
    <w:rsid w:val="22E9780C"/>
    <w:rsid w:val="23D0082C"/>
    <w:rsid w:val="26FE3D7B"/>
    <w:rsid w:val="27681B14"/>
    <w:rsid w:val="27805815"/>
    <w:rsid w:val="2A1B7887"/>
    <w:rsid w:val="2A5A45AB"/>
    <w:rsid w:val="2B096959"/>
    <w:rsid w:val="2C0052B1"/>
    <w:rsid w:val="2C444B29"/>
    <w:rsid w:val="3049713D"/>
    <w:rsid w:val="31383CA1"/>
    <w:rsid w:val="31754EB5"/>
    <w:rsid w:val="36075A9B"/>
    <w:rsid w:val="365D22F1"/>
    <w:rsid w:val="387A7AAC"/>
    <w:rsid w:val="3A3A0D40"/>
    <w:rsid w:val="3A8A5B57"/>
    <w:rsid w:val="3BD83FA1"/>
    <w:rsid w:val="3D8307E2"/>
    <w:rsid w:val="3F792621"/>
    <w:rsid w:val="3FD82627"/>
    <w:rsid w:val="403878BE"/>
    <w:rsid w:val="41044ECF"/>
    <w:rsid w:val="41187651"/>
    <w:rsid w:val="41A82F2F"/>
    <w:rsid w:val="41B41925"/>
    <w:rsid w:val="45744735"/>
    <w:rsid w:val="46C937E8"/>
    <w:rsid w:val="48DA2AAC"/>
    <w:rsid w:val="4918620A"/>
    <w:rsid w:val="4AF03A2C"/>
    <w:rsid w:val="4BDA4D8C"/>
    <w:rsid w:val="4C2539A0"/>
    <w:rsid w:val="4F754243"/>
    <w:rsid w:val="4F8E4843"/>
    <w:rsid w:val="506825A9"/>
    <w:rsid w:val="510B505D"/>
    <w:rsid w:val="51244ACC"/>
    <w:rsid w:val="527E45F7"/>
    <w:rsid w:val="54182FF6"/>
    <w:rsid w:val="54ED4A6A"/>
    <w:rsid w:val="5661035D"/>
    <w:rsid w:val="58595612"/>
    <w:rsid w:val="58D369F3"/>
    <w:rsid w:val="59E42982"/>
    <w:rsid w:val="5ACF747B"/>
    <w:rsid w:val="5C1D78BD"/>
    <w:rsid w:val="5CB7272D"/>
    <w:rsid w:val="5EB50E7B"/>
    <w:rsid w:val="611C3BE9"/>
    <w:rsid w:val="628970DE"/>
    <w:rsid w:val="634E40B0"/>
    <w:rsid w:val="63512924"/>
    <w:rsid w:val="64035CC3"/>
    <w:rsid w:val="65AF7F8F"/>
    <w:rsid w:val="65F41C39"/>
    <w:rsid w:val="687F2363"/>
    <w:rsid w:val="6BE264C0"/>
    <w:rsid w:val="6CC322CB"/>
    <w:rsid w:val="6E7A204C"/>
    <w:rsid w:val="70132A28"/>
    <w:rsid w:val="7435775E"/>
    <w:rsid w:val="76F81026"/>
    <w:rsid w:val="796E6111"/>
    <w:rsid w:val="7FF31D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nan</cp:lastModifiedBy>
  <cp:lastPrinted>2018-12-14T07:09:00Z</cp:lastPrinted>
  <dcterms:modified xsi:type="dcterms:W3CDTF">2018-12-18T05:14:50Z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